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华文中宋" w:eastAsia="方正大标宋简体"/>
          <w:color w:val="FF0000"/>
          <w:spacing w:val="34"/>
          <w:sz w:val="72"/>
          <w:szCs w:val="28"/>
        </w:rPr>
      </w:pPr>
      <w:r>
        <w:rPr>
          <w:rFonts w:hint="eastAsia" w:ascii="方正大标宋简体" w:hAnsi="华文中宋" w:eastAsia="方正大标宋简体"/>
          <w:color w:val="FF0000"/>
          <w:spacing w:val="34"/>
          <w:sz w:val="72"/>
          <w:szCs w:val="28"/>
        </w:rPr>
        <w:t>上海健康医学院教务处</w:t>
      </w:r>
    </w:p>
    <w:p>
      <w:pPr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教务〔20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FF0000"/>
          <w:sz w:val="28"/>
          <w:szCs w:val="28"/>
        </w:rPr>
        <w:t>〕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97</w:t>
      </w:r>
      <w:r>
        <w:rPr>
          <w:rFonts w:hint="eastAsia" w:ascii="仿宋" w:hAnsi="仿宋" w:eastAsia="仿宋"/>
          <w:color w:val="FF000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ascii="仿宋" w:hAnsi="仿宋" w:eastAsia="仿宋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5715</wp:posOffset>
                </wp:positionV>
                <wp:extent cx="5147945" cy="0"/>
                <wp:effectExtent l="0" t="10795" r="3175" b="120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794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4pt;margin-top:0.45pt;height:0pt;width:405.35pt;z-index:251659264;mso-width-relative:page;mso-height-relative:page;" filled="f" stroked="t" coordsize="21600,21600" o:gfxdata="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72HA9IAAAAEAQAADwAAAAAAAAABACAAAAAiAAAAZHJzL2Rvd25yZXYueG1s&#10;UEsBAhQAFAAAAAgAh07iQC56Xuf+AQAA7QMAAA4AAAAAAAAAAQAgAAAAIQEAAGRycy9lMm9Eb2Mu&#10;eG1sUEsFBgAAAAAGAAYAWQEAAJE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仿宋" w:eastAsia="方正小标宋简体"/>
          <w:sz w:val="44"/>
          <w:szCs w:val="44"/>
        </w:rPr>
        <w:t>关于公布20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/>
          <w:sz w:val="44"/>
          <w:szCs w:val="44"/>
        </w:rPr>
        <w:t>-20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学年第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仿宋" w:eastAsia="方正小标宋简体"/>
          <w:sz w:val="44"/>
          <w:szCs w:val="44"/>
        </w:rPr>
        <w:t>学期新申报校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通识教育拓展课程</w:t>
      </w:r>
      <w:r>
        <w:rPr>
          <w:rFonts w:hint="eastAsia" w:ascii="方正小标宋简体" w:hAnsi="仿宋" w:eastAsia="方正小标宋简体"/>
          <w:sz w:val="44"/>
          <w:szCs w:val="44"/>
        </w:rPr>
        <w:t>评审结果的通知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Tahoma"/>
          <w:color w:val="auto"/>
          <w:sz w:val="32"/>
          <w:szCs w:val="32"/>
        </w:rPr>
        <w:t>各学院（部、中心）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</w:p>
    <w:p>
      <w:pPr>
        <w:pStyle w:val="2"/>
        <w:spacing w:before="0" w:beforeAutospacing="0" w:after="0" w:afterAutospacing="0" w:line="600" w:lineRule="atLeast"/>
        <w:ind w:firstLine="555"/>
        <w:jc w:val="both"/>
        <w:rPr>
          <w:rFonts w:ascii="仿宋" w:hAnsi="仿宋" w:eastAsia="仿宋" w:cs="Tahom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Tahoma"/>
          <w:color w:val="auto"/>
          <w:sz w:val="32"/>
          <w:szCs w:val="32"/>
          <w:lang w:eastAsia="zh-CN"/>
        </w:rPr>
        <w:t>学校通识教育课程实施方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eastAsia="zh-CN"/>
        </w:rPr>
        <w:t>案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，教务处组织开展了2</w:t>
      </w:r>
      <w:r>
        <w:rPr>
          <w:rFonts w:ascii="仿宋" w:hAnsi="仿宋" w:eastAsia="仿宋" w:cs="Tahoma"/>
          <w:color w:val="auto"/>
          <w:sz w:val="32"/>
          <w:szCs w:val="32"/>
          <w:highlight w:val="none"/>
        </w:rPr>
        <w:t>0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Tahoma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学年第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学期新申报校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eastAsia="zh-CN"/>
        </w:rPr>
        <w:t>通识教育拓展课程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的评审工作。现将结果公布如下：</w:t>
      </w:r>
    </w:p>
    <w:p>
      <w:pPr>
        <w:pStyle w:val="2"/>
        <w:spacing w:before="0" w:beforeAutospacing="0" w:after="0" w:afterAutospacing="0" w:line="600" w:lineRule="atLeast"/>
        <w:ind w:firstLine="555"/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经个人申报，学院（部、中心</w:t>
      </w:r>
      <w:r>
        <w:rPr>
          <w:rFonts w:ascii="仿宋" w:hAnsi="仿宋" w:eastAsia="仿宋" w:cs="Tahoma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审核，专家评审，最终确定《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健康社会工作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》等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门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eastAsia="zh-CN"/>
        </w:rPr>
        <w:t>课程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予以开设（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见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附件）。部分课程的专家整改意见将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反馈给教师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，请相关老师认真总结经验，根据学校通识教育实施方案的要求和课程建设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基础，有序、有计划地做好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eastAsia="zh-CN"/>
        </w:rPr>
        <w:t>课程建设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 w:bidi="ar-SA"/>
        </w:rPr>
        <w:t>附件：</w:t>
      </w:r>
      <w:bookmarkStart w:id="0" w:name="_Hlk1993490"/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2</w:t>
      </w:r>
      <w:r>
        <w:rPr>
          <w:rFonts w:ascii="仿宋" w:hAnsi="仿宋" w:eastAsia="仿宋" w:cs="Tahoma"/>
          <w:color w:val="auto"/>
          <w:sz w:val="32"/>
          <w:szCs w:val="32"/>
          <w:highlight w:val="none"/>
        </w:rPr>
        <w:t>0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Tahoma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学年第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Tahoma"/>
          <w:color w:val="auto"/>
          <w:sz w:val="32"/>
          <w:szCs w:val="32"/>
          <w:highlight w:val="none"/>
        </w:rPr>
        <w:t>学期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 w:bidi="ar-SA"/>
        </w:rPr>
        <w:t>新申报校通识教育拓展课程评审通过名单</w:t>
      </w:r>
      <w:bookmarkEnd w:id="0"/>
    </w:p>
    <w:p>
      <w:pPr>
        <w:ind w:firstLine="640" w:firstLineChars="20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ind w:firstLine="4800" w:firstLineChars="150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 w:bidi="ar-SA"/>
        </w:rPr>
        <w:t>上海健康医学院教务处</w:t>
      </w:r>
    </w:p>
    <w:p>
      <w:pPr>
        <w:ind w:firstLine="5120" w:firstLineChars="16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 w:bidi="ar-SA"/>
        </w:rPr>
        <w:t>2021年9月17日</w:t>
      </w:r>
    </w:p>
    <w:p>
      <w:pPr>
        <w:rPr>
          <w:rFonts w:hint="eastAsia" w:ascii="仿宋" w:hAnsi="仿宋" w:eastAsia="仿宋" w:cs="Tahoma"/>
          <w:color w:val="auto"/>
          <w:kern w:val="0"/>
          <w:sz w:val="32"/>
          <w:szCs w:val="32"/>
        </w:rPr>
      </w:pPr>
    </w:p>
    <w:p>
      <w:pPr>
        <w:rPr>
          <w:rFonts w:ascii="仿宋" w:hAnsi="仿宋" w:eastAsia="仿宋" w:cs="Tahoma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/>
          <w:b/>
          <w:color w:val="auto"/>
          <w:sz w:val="28"/>
        </w:rPr>
        <w:t>2</w:t>
      </w:r>
      <w:r>
        <w:rPr>
          <w:rFonts w:ascii="宋体" w:hAnsi="宋体"/>
          <w:b/>
          <w:color w:val="auto"/>
          <w:sz w:val="28"/>
        </w:rPr>
        <w:t>0</w:t>
      </w:r>
      <w:r>
        <w:rPr>
          <w:rFonts w:hint="eastAsia" w:ascii="宋体" w:hAnsi="宋体"/>
          <w:b/>
          <w:color w:val="auto"/>
          <w:sz w:val="28"/>
          <w:lang w:val="en-US" w:eastAsia="zh-CN"/>
        </w:rPr>
        <w:t>21</w:t>
      </w:r>
      <w:r>
        <w:rPr>
          <w:rFonts w:ascii="宋体" w:hAnsi="宋体"/>
          <w:b/>
          <w:color w:val="auto"/>
          <w:sz w:val="28"/>
        </w:rPr>
        <w:t>-202</w:t>
      </w:r>
      <w:r>
        <w:rPr>
          <w:rFonts w:hint="eastAsia" w:ascii="宋体" w:hAnsi="宋体"/>
          <w:b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28"/>
        </w:rPr>
        <w:t>学年第</w:t>
      </w:r>
      <w:r>
        <w:rPr>
          <w:rFonts w:hint="eastAsia" w:ascii="宋体" w:hAnsi="宋体"/>
          <w:b/>
          <w:color w:val="auto"/>
          <w:sz w:val="28"/>
          <w:lang w:val="en-US" w:eastAsia="zh-CN"/>
        </w:rPr>
        <w:t>一</w:t>
      </w:r>
      <w:r>
        <w:rPr>
          <w:rFonts w:hint="eastAsia" w:ascii="宋体" w:hAnsi="宋体"/>
          <w:b/>
          <w:color w:val="auto"/>
          <w:sz w:val="28"/>
        </w:rPr>
        <w:t>学期新申报</w:t>
      </w:r>
      <w:r>
        <w:rPr>
          <w:rFonts w:hint="eastAsia" w:ascii="宋体" w:hAnsi="宋体"/>
          <w:b/>
          <w:color w:val="auto"/>
          <w:sz w:val="28"/>
          <w:lang w:eastAsia="zh-CN"/>
        </w:rPr>
        <w:t>校通识教育拓展课程</w:t>
      </w:r>
      <w:r>
        <w:rPr>
          <w:rFonts w:hint="eastAsia" w:ascii="宋体" w:hAnsi="宋体"/>
          <w:b/>
          <w:color w:val="auto"/>
          <w:sz w:val="28"/>
        </w:rPr>
        <w:t>评审通过名单</w:t>
      </w:r>
    </w:p>
    <w:tbl>
      <w:tblPr>
        <w:tblStyle w:val="3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673"/>
        <w:gridCol w:w="3402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序号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学院（部、中心）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课程名称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健康社会工作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妇幼保健学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老年叙事护理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名画中的瘟疫史（线下课程）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黄钢、邹华华、王一方、张少一、方小龙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健身街舞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体育锻炼与欣赏：排球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协同科研中心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Funny科学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李文惠 武懿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协同科研中心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推拿，不简单也不神秘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李文惠 徐满成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叙事医学精细阅读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生物医药与知识产权保护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民法概要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讲故事，学微免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医工创结合的医疗创新创业课程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杨智昉、王肇龙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辉煌百年赏析伟人诗词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孙龙杰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大学日语四级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盖横昊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中国古典文学在海外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丁芝慧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English Salon [Fall]（英语沙龙）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Grace Silos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英美影视文学中的医学叙事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钟丽波、孙芳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英语报刊智能读写与翻译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阮俊斌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美剧中的医学与人文线上课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健康与公共卫生学院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Python语言入门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健康与公共卫生学院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趣味化国内外健康教育案例分析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智能优化算法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文理教学部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中外电影简史（上）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设计文化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舞蹈基础训练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大数据科学与技术导论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中国书法史与技法实践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儿童生长发育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医学实践技能仿真实训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秦建晔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实践教学中心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AI医学实践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人格心理学与个人成长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常冬辉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生化检验报告单解读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诺贝尔奖与生物化学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26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我的健康我做主——中医养生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张晴雯</w:t>
            </w:r>
          </w:p>
        </w:tc>
      </w:tr>
    </w:tbl>
    <w:p>
      <w:pPr>
        <w:ind w:firstLine="4200" w:firstLineChars="1500"/>
        <w:rPr>
          <w:rFonts w:ascii="仿宋" w:hAnsi="仿宋" w:eastAsia="仿宋"/>
          <w:color w:val="auto"/>
          <w:sz w:val="28"/>
          <w:szCs w:val="28"/>
        </w:rPr>
      </w:pPr>
    </w:p>
    <w:p>
      <w:pPr>
        <w:ind w:firstLine="4200" w:firstLineChars="1500"/>
        <w:rPr>
          <w:rFonts w:ascii="仿宋" w:hAnsi="仿宋" w:eastAsia="仿宋"/>
          <w:color w:val="auto"/>
          <w:sz w:val="28"/>
          <w:szCs w:val="28"/>
        </w:rPr>
      </w:pPr>
    </w:p>
    <w:p>
      <w:pPr>
        <w:ind w:firstLine="4200" w:firstLineChars="1500"/>
        <w:rPr>
          <w:rFonts w:ascii="仿宋" w:hAnsi="仿宋" w:eastAsia="仿宋"/>
          <w:color w:val="auto"/>
          <w:sz w:val="28"/>
          <w:szCs w:val="28"/>
        </w:rPr>
      </w:pPr>
    </w:p>
    <w:p>
      <w:pPr>
        <w:ind w:firstLine="4200" w:firstLineChars="1500"/>
        <w:rPr>
          <w:rFonts w:ascii="仿宋" w:hAnsi="仿宋" w:eastAsia="仿宋"/>
          <w:color w:val="auto"/>
          <w:sz w:val="28"/>
          <w:szCs w:val="28"/>
        </w:rPr>
      </w:pPr>
      <w:bookmarkStart w:id="1" w:name="_GoBack"/>
      <w:bookmarkEnd w:id="1"/>
    </w:p>
    <w:p>
      <w:pPr>
        <w:ind w:firstLine="4200" w:firstLineChars="15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377190</wp:posOffset>
                </wp:positionV>
                <wp:extent cx="5360670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29.7pt;height:0.05pt;width:422.1pt;z-index:251662336;mso-width-relative:page;mso-height-relative:page;" filled="f" stroked="t" coordsize="21600,21600" o:gfxdata="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gFWONYAAAAHAQAADwAAAAAAAAABACAAAAAiAAAAZHJzL2Rvd25y&#10;ZXYueG1sUEsBAhQAFAAAAAgAh07iQJeQlBcAAgAA7g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ind w:firstLine="280" w:firstLineChars="1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抄送：</w:t>
      </w:r>
    </w:p>
    <w:p>
      <w:pPr>
        <w:adjustRightInd w:val="0"/>
        <w:snapToGrid w:val="0"/>
        <w:ind w:firstLine="280" w:firstLineChars="1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0</wp:posOffset>
                </wp:positionV>
                <wp:extent cx="536067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0pt;height:0.05pt;width:422.1pt;z-index:251663360;mso-width-relative:page;mso-height-relative:page;" filled="f" stroked="t" coordsize="21600,21600" o:gfxdata="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vwGS0wAAAAMBAAAPAAAAAAAAAAEAIAAAACIAAABkcnMvZG93bnJldi54&#10;bWxQSwECFAAUAAAACACHTuJAUCDWlf8BAADuAwAADgAAAAAAAAABACAAAAAi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教务处   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28"/>
          <w:szCs w:val="28"/>
        </w:rPr>
        <w:t>日印发</w: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0</wp:posOffset>
                </wp:positionV>
                <wp:extent cx="536067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0pt;height:0.05pt;width:422.1pt;z-index:251660288;mso-width-relative:page;mso-height-relative:page;" filled="f" stroked="t" coordsize="21600,21600" o:gfxdata="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/AZLTAAAAAwEAAA8AAAAAAAAAAQAgAAAAIgAAAGRycy9kb3ducmV2Lnht&#10;bFBLAQIUABQAAAAIAIdO4kCHPvms/gEAAO4DAAAOAAAAAAAAAAEAIAAAACI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color w:val="auto"/>
        </w:rPr>
      </w:pP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43815</wp:posOffset>
                </wp:positionV>
                <wp:extent cx="536067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9pt;margin-top:3.45pt;height:0pt;width:422.1pt;z-index:251661312;mso-width-relative:page;mso-height-relative:page;" filled="f" stroked="t" coordsize="21600,21600" o:gfxdata="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NFCQ0gAAAAUBAAAPAAAAAAAAAAEAIAAAACIAAABkcnMvZG93bnJldi54bWxQ&#10;SwECFAAUAAAACACHTuJAjOBiFf0BAADs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00A95"/>
    <w:rsid w:val="001E4B45"/>
    <w:rsid w:val="05600A95"/>
    <w:rsid w:val="05C962C0"/>
    <w:rsid w:val="097841BF"/>
    <w:rsid w:val="0B333B77"/>
    <w:rsid w:val="0F6E67E2"/>
    <w:rsid w:val="1075479D"/>
    <w:rsid w:val="12EA7BF2"/>
    <w:rsid w:val="16B90037"/>
    <w:rsid w:val="16D26001"/>
    <w:rsid w:val="1BBA01F5"/>
    <w:rsid w:val="1D8B6FAC"/>
    <w:rsid w:val="202F404C"/>
    <w:rsid w:val="20BC2310"/>
    <w:rsid w:val="2A6F26B2"/>
    <w:rsid w:val="364C0A93"/>
    <w:rsid w:val="4A756A9D"/>
    <w:rsid w:val="52022695"/>
    <w:rsid w:val="60825DE8"/>
    <w:rsid w:val="67D60DD5"/>
    <w:rsid w:val="6F3B6F23"/>
    <w:rsid w:val="70E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2020-04-09T02:46:00Z</dcterms:created>
  <dc:creator>600</dc:creator>
  <cp:lastModifiedBy>bossysj</cp:lastModifiedBy>
  <cp:lastPrinted>2020-05-09T01:28:00Z</cp:lastPrinted>
  <dcterms:modified xsi:type="dcterms:W3CDTF">2021-09-17T13:48:01Z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6C95A77AFB6F44A897EF34D2496E2B16</vt:lpwstr>
  </property>
</Properties>
</file>